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9F3" w:rsidRPr="000679F3" w:rsidRDefault="000679F3">
      <w:pPr>
        <w:rPr>
          <w:b/>
          <w:u w:val="single"/>
        </w:rPr>
      </w:pPr>
      <w:bookmarkStart w:id="0" w:name="_GoBack"/>
      <w:bookmarkEnd w:id="0"/>
      <w:r w:rsidRPr="000679F3">
        <w:rPr>
          <w:b/>
          <w:u w:val="single"/>
        </w:rPr>
        <w:t>Q1.</w:t>
      </w:r>
    </w:p>
    <w:p w:rsidR="006A1C9D" w:rsidRDefault="00F234E9">
      <w:r>
        <w:t>To: Trustees of OTA Master Trust</w:t>
      </w:r>
    </w:p>
    <w:p w:rsidR="00F234E9" w:rsidRDefault="00F234E9">
      <w:r>
        <w:t>From: Kit Taylor</w:t>
      </w:r>
    </w:p>
    <w:p w:rsidR="00F234E9" w:rsidRDefault="00F234E9">
      <w:r>
        <w:t>Date: 15 April 2021</w:t>
      </w:r>
    </w:p>
    <w:p w:rsidR="00F234E9" w:rsidRDefault="00F234E9"/>
    <w:p w:rsidR="00F234E9" w:rsidRPr="00CF2582" w:rsidRDefault="00F234E9" w:rsidP="00CF2582">
      <w:pPr>
        <w:jc w:val="center"/>
        <w:rPr>
          <w:b/>
          <w:u w:val="single"/>
        </w:rPr>
      </w:pPr>
      <w:r w:rsidRPr="00CF2582">
        <w:rPr>
          <w:b/>
          <w:u w:val="single"/>
        </w:rPr>
        <w:t>Small Pension Pots at OTA Master Trust</w:t>
      </w:r>
    </w:p>
    <w:p w:rsidR="00F234E9" w:rsidRDefault="00F234E9">
      <w:r>
        <w:t xml:space="preserve">This paper has prepared by Kit Taylor and is addressed to the Trustees of OTA Master Trust (‘the Trust’). The purpose of this paper is to provide details on small pension pots and answer questions raised by the Trustees. </w:t>
      </w:r>
    </w:p>
    <w:p w:rsidR="00F234E9" w:rsidRDefault="00F234E9">
      <w:r>
        <w:t>This paper will cover:</w:t>
      </w:r>
    </w:p>
    <w:p w:rsidR="00F234E9" w:rsidRDefault="00F234E9" w:rsidP="00F234E9">
      <w:pPr>
        <w:pStyle w:val="ListParagraph"/>
        <w:numPr>
          <w:ilvl w:val="0"/>
          <w:numId w:val="1"/>
        </w:numPr>
      </w:pPr>
      <w:r>
        <w:t>The background behind the increasing number of small pension pots.</w:t>
      </w:r>
    </w:p>
    <w:p w:rsidR="00F234E9" w:rsidRDefault="00CF2582" w:rsidP="00F234E9">
      <w:pPr>
        <w:pStyle w:val="ListParagraph"/>
        <w:numPr>
          <w:ilvl w:val="0"/>
          <w:numId w:val="1"/>
        </w:numPr>
      </w:pPr>
      <w:r>
        <w:t xml:space="preserve">The problems associated with </w:t>
      </w:r>
      <w:r w:rsidR="00F234E9">
        <w:t>small pension pots</w:t>
      </w:r>
      <w:r>
        <w:t>.</w:t>
      </w:r>
    </w:p>
    <w:p w:rsidR="00F234E9" w:rsidRDefault="00F234E9" w:rsidP="00F234E9">
      <w:pPr>
        <w:pStyle w:val="ListParagraph"/>
        <w:numPr>
          <w:ilvl w:val="0"/>
          <w:numId w:val="1"/>
        </w:numPr>
      </w:pPr>
      <w:r>
        <w:t>The impact of the Trust’s charges on small pension pots.</w:t>
      </w:r>
    </w:p>
    <w:p w:rsidR="00CF2582" w:rsidRDefault="00CF2582" w:rsidP="00CF2582">
      <w:pPr>
        <w:rPr>
          <w:u w:val="single"/>
        </w:rPr>
      </w:pPr>
      <w:r>
        <w:rPr>
          <w:u w:val="single"/>
        </w:rPr>
        <w:t>Background to small pension pots</w:t>
      </w:r>
    </w:p>
    <w:p w:rsidR="006D590D" w:rsidRDefault="00CF2582" w:rsidP="00CF2582">
      <w:r>
        <w:t xml:space="preserve">The term ‘small pension pot’ is assumed to </w:t>
      </w:r>
      <w:r w:rsidR="006D590D">
        <w:t xml:space="preserve">mean </w:t>
      </w:r>
      <w:r>
        <w:t xml:space="preserve">a </w:t>
      </w:r>
      <w:r w:rsidR="004C1615">
        <w:t xml:space="preserve">deferred </w:t>
      </w:r>
      <w:r>
        <w:t>pension savings account w</w:t>
      </w:r>
      <w:r w:rsidR="004C1615">
        <w:t xml:space="preserve">ith a value of less than £1000. An active pension </w:t>
      </w:r>
      <w:r w:rsidR="00952EE3">
        <w:t>pot</w:t>
      </w:r>
      <w:r w:rsidR="004C1615">
        <w:t xml:space="preserve"> may have a value of less than £1000 but would not be considered to be a small pension pot. This is because contributions will continue to be paid</w:t>
      </w:r>
      <w:r w:rsidR="00952EE3">
        <w:t>,</w:t>
      </w:r>
      <w:r w:rsidR="004C1615">
        <w:t xml:space="preserve"> and the value </w:t>
      </w:r>
      <w:r w:rsidR="00952EE3">
        <w:t xml:space="preserve">of the pot </w:t>
      </w:r>
      <w:r w:rsidR="004C1615">
        <w:t xml:space="preserve">will grow. A </w:t>
      </w:r>
      <w:r w:rsidR="00952EE3">
        <w:t>‘</w:t>
      </w:r>
      <w:r w:rsidR="004C1615">
        <w:t>small pension pot</w:t>
      </w:r>
      <w:r w:rsidR="00952EE3">
        <w:t>’</w:t>
      </w:r>
      <w:r w:rsidR="004C1615">
        <w:t xml:space="preserve"> is one which has a low value</w:t>
      </w:r>
      <w:r w:rsidR="00952EE3">
        <w:t>,</w:t>
      </w:r>
      <w:r w:rsidR="004C1615">
        <w:t xml:space="preserve"> and which no longer receives contributions.</w:t>
      </w:r>
    </w:p>
    <w:p w:rsidR="004C1615" w:rsidRDefault="00CF2582" w:rsidP="004C1615">
      <w:r>
        <w:t>Over recent years the number of small pension pots across all pension providers has been increasin</w:t>
      </w:r>
      <w:r w:rsidR="004C1615">
        <w:t xml:space="preserve">g. There are two </w:t>
      </w:r>
      <w:r>
        <w:t>reason</w:t>
      </w:r>
      <w:r w:rsidR="004C1615">
        <w:t>s</w:t>
      </w:r>
      <w:r>
        <w:t xml:space="preserve"> behind this rise</w:t>
      </w:r>
      <w:r w:rsidR="00396082">
        <w:t>;</w:t>
      </w:r>
      <w:r w:rsidR="004C1615">
        <w:t xml:space="preserve"> </w:t>
      </w:r>
      <w:r>
        <w:t xml:space="preserve">the </w:t>
      </w:r>
      <w:r w:rsidR="006D590D">
        <w:t>introduction of auto-enrolmen</w:t>
      </w:r>
      <w:r w:rsidR="004C1615">
        <w:t>t, and an increase in deferred members.</w:t>
      </w:r>
    </w:p>
    <w:p w:rsidR="004C1615" w:rsidRDefault="004C1615" w:rsidP="004C1615">
      <w:r>
        <w:t>The introduction of auto-enrolment</w:t>
      </w:r>
      <w:r w:rsidR="00CF2582">
        <w:t xml:space="preserve"> has lead to a large in</w:t>
      </w:r>
      <w:r w:rsidR="006D590D">
        <w:t>crease in the number of employees enrolled in workplace pension schemes. Wh</w:t>
      </w:r>
      <w:r>
        <w:t>ile</w:t>
      </w:r>
      <w:r w:rsidR="006D590D">
        <w:t xml:space="preserve"> historically only higher-paid employees had pension </w:t>
      </w:r>
      <w:r w:rsidR="002F5219">
        <w:t>pots</w:t>
      </w:r>
      <w:r>
        <w:t>, now</w:t>
      </w:r>
      <w:r w:rsidR="006D590D">
        <w:t xml:space="preserve"> </w:t>
      </w:r>
      <w:r>
        <w:t xml:space="preserve">all employees are eligible. </w:t>
      </w:r>
      <w:r w:rsidR="006D590D">
        <w:t>This</w:t>
      </w:r>
      <w:r>
        <w:t xml:space="preserve"> has </w:t>
      </w:r>
      <w:r w:rsidR="002F5219">
        <w:t xml:space="preserve">led </w:t>
      </w:r>
      <w:r>
        <w:t xml:space="preserve">to </w:t>
      </w:r>
      <w:r w:rsidR="006D590D">
        <w:t>an influx of</w:t>
      </w:r>
      <w:r>
        <w:t xml:space="preserve"> members</w:t>
      </w:r>
      <w:r w:rsidR="006D590D">
        <w:t xml:space="preserve"> </w:t>
      </w:r>
      <w:r w:rsidR="001401B2">
        <w:t xml:space="preserve">who are </w:t>
      </w:r>
      <w:r w:rsidR="006D590D">
        <w:t>earning a lower salary</w:t>
      </w:r>
      <w:r w:rsidR="002F5219">
        <w:t xml:space="preserve"> and therefore making relatively small </w:t>
      </w:r>
      <w:r w:rsidR="00952EE3">
        <w:t xml:space="preserve">pension </w:t>
      </w:r>
      <w:r w:rsidR="002F5219">
        <w:t>contributions</w:t>
      </w:r>
      <w:r>
        <w:t>.</w:t>
      </w:r>
    </w:p>
    <w:p w:rsidR="006D590D" w:rsidRDefault="004C1615" w:rsidP="00CF2582">
      <w:r>
        <w:t xml:space="preserve">Alongside the increasing </w:t>
      </w:r>
      <w:r w:rsidR="002B0F06">
        <w:t xml:space="preserve">number of members, pension schemes are also seeing a rise in deferred members. </w:t>
      </w:r>
      <w:r w:rsidR="002B0F06" w:rsidRPr="00B93D03">
        <w:t>Lower-paid employees</w:t>
      </w:r>
      <w:r w:rsidR="002F5219">
        <w:t>, whose numbers have increased due to</w:t>
      </w:r>
      <w:r w:rsidR="002B0F06" w:rsidRPr="00B93D03">
        <w:t xml:space="preserve"> auto-enrolment</w:t>
      </w:r>
      <w:r w:rsidR="002F5219">
        <w:t>,</w:t>
      </w:r>
      <w:r w:rsidR="002F5219" w:rsidRPr="00B93D03">
        <w:t xml:space="preserve"> </w:t>
      </w:r>
      <w:r w:rsidR="002B0F06" w:rsidRPr="00B93D03">
        <w:t xml:space="preserve">are more likely to move jobs. </w:t>
      </w:r>
      <w:r w:rsidR="002F5219">
        <w:t>The</w:t>
      </w:r>
      <w:r w:rsidR="009E5A19" w:rsidRPr="00B93D03">
        <w:t xml:space="preserve"> deferred pot</w:t>
      </w:r>
      <w:r w:rsidR="002F5219">
        <w:t>s</w:t>
      </w:r>
      <w:r w:rsidR="009E5A19" w:rsidRPr="00B93D03">
        <w:t xml:space="preserve"> they leave behind </w:t>
      </w:r>
      <w:r w:rsidR="002F5219">
        <w:t>are</w:t>
      </w:r>
      <w:r w:rsidR="002F5219" w:rsidRPr="00B93D03">
        <w:t xml:space="preserve"> </w:t>
      </w:r>
      <w:r w:rsidR="009E5A19" w:rsidRPr="00B93D03">
        <w:t xml:space="preserve">often small, because they haven’t been in </w:t>
      </w:r>
      <w:r w:rsidR="002F5219">
        <w:t>force for</w:t>
      </w:r>
      <w:r w:rsidR="009E5A19" w:rsidRPr="00B93D03">
        <w:t xml:space="preserve"> long, and </w:t>
      </w:r>
      <w:r w:rsidR="002F5219">
        <w:t>the contributions were relatively small</w:t>
      </w:r>
      <w:r w:rsidR="009E5A19" w:rsidRPr="00B93D03">
        <w:t>.</w:t>
      </w:r>
      <w:r w:rsidR="002B0F06">
        <w:t xml:space="preserve"> The current economic uncertainty has led to greater unemployment. This has </w:t>
      </w:r>
      <w:r w:rsidR="002F5219">
        <w:t xml:space="preserve">further </w:t>
      </w:r>
      <w:r w:rsidR="00396082">
        <w:t xml:space="preserve">contributed to </w:t>
      </w:r>
      <w:r w:rsidR="00952EE3">
        <w:t>the rise in deferred members</w:t>
      </w:r>
      <w:r w:rsidR="002B0F06">
        <w:t xml:space="preserve">. </w:t>
      </w:r>
    </w:p>
    <w:p w:rsidR="008731D4" w:rsidRPr="008731D4" w:rsidRDefault="008731D4" w:rsidP="00CF2582">
      <w:pPr>
        <w:rPr>
          <w:u w:val="single"/>
        </w:rPr>
      </w:pPr>
      <w:r>
        <w:rPr>
          <w:u w:val="single"/>
        </w:rPr>
        <w:t>Increase in small pension pots at OTA Master Trust</w:t>
      </w:r>
    </w:p>
    <w:p w:rsidR="00BB7DB4" w:rsidRDefault="002B0F06" w:rsidP="00CF2582">
      <w:r>
        <w:t xml:space="preserve">The Trust has seen </w:t>
      </w:r>
      <w:r w:rsidR="002F5219">
        <w:t>significant</w:t>
      </w:r>
      <w:r>
        <w:t xml:space="preserve"> increases in </w:t>
      </w:r>
      <w:r w:rsidR="00396082">
        <w:t xml:space="preserve">the number of </w:t>
      </w:r>
      <w:r>
        <w:t xml:space="preserve">small pension pots. The graph below shows </w:t>
      </w:r>
      <w:r w:rsidR="00F4110A">
        <w:t xml:space="preserve">the number of pension </w:t>
      </w:r>
      <w:r w:rsidR="002F5219">
        <w:t>pots</w:t>
      </w:r>
      <w:r w:rsidR="00952EE3">
        <w:t xml:space="preserve"> held in the Trust,</w:t>
      </w:r>
      <w:r w:rsidR="00F4110A">
        <w:t xml:space="preserve"> for each of the last five years, split by active and deferred. This shows that while the number of active pots has increased slightly since 2016, the </w:t>
      </w:r>
      <w:r w:rsidR="00F4110A">
        <w:lastRenderedPageBreak/>
        <w:t xml:space="preserve">number of deferred pots has increased </w:t>
      </w:r>
      <w:r w:rsidR="002F5219">
        <w:t xml:space="preserve">at a </w:t>
      </w:r>
      <w:r w:rsidR="00F4110A">
        <w:t>much faster</w:t>
      </w:r>
      <w:r w:rsidR="002F5219">
        <w:t xml:space="preserve"> rate</w:t>
      </w:r>
      <w:r w:rsidR="00F4110A">
        <w:t>. At the end of 2020</w:t>
      </w:r>
      <w:r w:rsidR="00952EE3">
        <w:t>,</w:t>
      </w:r>
      <w:r w:rsidR="00F4110A">
        <w:t xml:space="preserve"> almost half of the Trust’s pots were deferred.  If the trend continues</w:t>
      </w:r>
      <w:r w:rsidR="002F5219">
        <w:t>,</w:t>
      </w:r>
      <w:r w:rsidR="00F4110A">
        <w:t xml:space="preserve"> deferred pots will soon outnumber active pots. </w:t>
      </w:r>
    </w:p>
    <w:p w:rsidR="0061291E" w:rsidRDefault="0061291E" w:rsidP="0061291E">
      <w:pPr>
        <w:jc w:val="center"/>
      </w:pPr>
      <w:r w:rsidRPr="0061291E">
        <w:rPr>
          <w:noProof/>
          <w:lang w:eastAsia="en-GB"/>
        </w:rPr>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1291E" w:rsidRDefault="0061291E" w:rsidP="00CF2582">
      <w:r>
        <w:t xml:space="preserve">The graph above shows the increase in deferred pots of all sizes. At the end of 2020 the proportion of </w:t>
      </w:r>
      <w:r w:rsidR="00E50262">
        <w:t xml:space="preserve">all the Trust’s </w:t>
      </w:r>
      <w:r>
        <w:t xml:space="preserve">pots which </w:t>
      </w:r>
      <w:r w:rsidR="00E50262">
        <w:t xml:space="preserve">would be classed as a </w:t>
      </w:r>
      <w:r w:rsidR="002F5219">
        <w:t>‘</w:t>
      </w:r>
      <w:r w:rsidR="00E50262">
        <w:t>small pension pot</w:t>
      </w:r>
      <w:r w:rsidR="002F5219">
        <w:t>’</w:t>
      </w:r>
      <w:r w:rsidR="00E50262">
        <w:t xml:space="preserve"> was 42%.</w:t>
      </w:r>
    </w:p>
    <w:p w:rsidR="00CF2582" w:rsidRDefault="00CF2582" w:rsidP="00BB7DB4">
      <w:pPr>
        <w:rPr>
          <w:u w:val="single"/>
        </w:rPr>
      </w:pPr>
      <w:r w:rsidRPr="00CF2582">
        <w:rPr>
          <w:u w:val="single"/>
        </w:rPr>
        <w:t>Issues with small pension pots</w:t>
      </w:r>
    </w:p>
    <w:p w:rsidR="00BB7DB4" w:rsidRDefault="00890303" w:rsidP="00BB7DB4">
      <w:r>
        <w:t xml:space="preserve">Small pension pots can be problematic for both the Trust and the </w:t>
      </w:r>
      <w:r w:rsidR="00952EE3">
        <w:t xml:space="preserve">scheme </w:t>
      </w:r>
      <w:r>
        <w:t xml:space="preserve">member. </w:t>
      </w:r>
    </w:p>
    <w:p w:rsidR="00B12F32" w:rsidRDefault="00B12F32" w:rsidP="001401B2">
      <w:r>
        <w:t>A</w:t>
      </w:r>
      <w:r w:rsidR="00890303">
        <w:t xml:space="preserve"> member</w:t>
      </w:r>
      <w:r w:rsidR="001401B2">
        <w:t xml:space="preserve"> may feel that the pot is too small to contribute to their retirement, and there is a risk of the pot being forgotten </w:t>
      </w:r>
      <w:r w:rsidR="00F72671">
        <w:t>, p</w:t>
      </w:r>
      <w:r>
        <w:t xml:space="preserve">articularly if it </w:t>
      </w:r>
      <w:r w:rsidR="001401B2">
        <w:t xml:space="preserve">relates to </w:t>
      </w:r>
      <w:r>
        <w:t xml:space="preserve"> </w:t>
      </w:r>
      <w:r w:rsidR="00890303">
        <w:t>a short time with an employer</w:t>
      </w:r>
      <w:r>
        <w:t>.</w:t>
      </w:r>
    </w:p>
    <w:p w:rsidR="00890303" w:rsidRPr="00890303" w:rsidRDefault="001401B2" w:rsidP="00BB7DB4">
      <w:r>
        <w:t xml:space="preserve">Monthly charges are taken from each pot to cover the Trust’s costs. Depending on the charging structure, the charges levied on small pots, may not cover all the Trust’s costs. Where the charges include a fixed charge, these fixed charges will have a more significant impact on small pots and could even reduce them to zero. This is considered in more detail in the next section. </w:t>
      </w:r>
      <w:r w:rsidR="00B12F32">
        <w:t>This will lead to unhappy members with no funds available for retirement. It can also put the financial stability of the Trust at risk. Depending on how the charges are calculated</w:t>
      </w:r>
      <w:r w:rsidR="00396082">
        <w:t>,</w:t>
      </w:r>
      <w:r w:rsidR="00B12F32">
        <w:t xml:space="preserve"> those taken from small pension pots may not cover all the costs.</w:t>
      </w:r>
    </w:p>
    <w:p w:rsidR="00CF2582" w:rsidRDefault="00CF2582" w:rsidP="00CF2582">
      <w:pPr>
        <w:rPr>
          <w:u w:val="single"/>
        </w:rPr>
      </w:pPr>
      <w:r>
        <w:rPr>
          <w:u w:val="single"/>
        </w:rPr>
        <w:t>Impact of charges on small pension pots</w:t>
      </w:r>
    </w:p>
    <w:p w:rsidR="00B12F32" w:rsidRDefault="00B12F32" w:rsidP="00CF2582">
      <w:r>
        <w:t xml:space="preserve">As mentioned in the previous section the charges need to cover the </w:t>
      </w:r>
      <w:r w:rsidR="00FA288A">
        <w:t xml:space="preserve">Trust’s </w:t>
      </w:r>
      <w:r>
        <w:t>costs associated with providing the pension scheme.</w:t>
      </w:r>
    </w:p>
    <w:p w:rsidR="00B12F32" w:rsidRDefault="00101803" w:rsidP="00CF2582">
      <w:r>
        <w:t>The current charging structure for the Trust is:</w:t>
      </w:r>
    </w:p>
    <w:p w:rsidR="00101803" w:rsidRDefault="00101803" w:rsidP="00101803">
      <w:r>
        <w:t xml:space="preserve"> £16 annual flat-fee and 0.25% annual management charge (AMC)</w:t>
      </w:r>
      <w:r w:rsidR="00FA288A">
        <w:t>, both deducted monthly</w:t>
      </w:r>
      <w:r>
        <w:t>.</w:t>
      </w:r>
    </w:p>
    <w:p w:rsidR="00101803" w:rsidRDefault="00FD1ABE" w:rsidP="00101803">
      <w:r>
        <w:t xml:space="preserve">For small pension pots this charging structure could </w:t>
      </w:r>
      <w:r w:rsidR="00FA288A">
        <w:t xml:space="preserve">erode </w:t>
      </w:r>
      <w:r>
        <w:t xml:space="preserve">the value of pot to </w:t>
      </w:r>
      <w:r w:rsidR="000D6403">
        <w:t>zero</w:t>
      </w:r>
      <w:r>
        <w:t xml:space="preserve"> before retirement. The table below gives example of what the value </w:t>
      </w:r>
      <w:r w:rsidR="00FA288A">
        <w:t xml:space="preserve">of the pot </w:t>
      </w:r>
      <w:r>
        <w:t xml:space="preserve">would be at retirement (age 68) </w:t>
      </w:r>
      <w:r w:rsidR="00AC7460">
        <w:t xml:space="preserve">for a </w:t>
      </w:r>
      <w:r w:rsidR="00470F8A">
        <w:t xml:space="preserve">deferred </w:t>
      </w:r>
      <w:r w:rsidR="00AC7460">
        <w:t>member age</w:t>
      </w:r>
      <w:r w:rsidR="00470F8A">
        <w:t>d</w:t>
      </w:r>
      <w:r w:rsidR="00AC7460">
        <w:t xml:space="preserve"> 22.</w:t>
      </w:r>
    </w:p>
    <w:tbl>
      <w:tblPr>
        <w:tblStyle w:val="TableGrid"/>
        <w:tblW w:w="0" w:type="auto"/>
        <w:jc w:val="center"/>
        <w:tblLook w:val="04A0" w:firstRow="1" w:lastRow="0" w:firstColumn="1" w:lastColumn="0" w:noHBand="0" w:noVBand="1"/>
      </w:tblPr>
      <w:tblGrid>
        <w:gridCol w:w="1668"/>
        <w:gridCol w:w="1984"/>
      </w:tblGrid>
      <w:tr w:rsidR="00AC7460" w:rsidTr="008731D4">
        <w:trPr>
          <w:jc w:val="center"/>
        </w:trPr>
        <w:tc>
          <w:tcPr>
            <w:tcW w:w="1668" w:type="dxa"/>
          </w:tcPr>
          <w:p w:rsidR="00AC7460" w:rsidRDefault="00AC7460" w:rsidP="00101803">
            <w:r>
              <w:lastRenderedPageBreak/>
              <w:t>Value at age 22</w:t>
            </w:r>
          </w:p>
        </w:tc>
        <w:tc>
          <w:tcPr>
            <w:tcW w:w="1984" w:type="dxa"/>
          </w:tcPr>
          <w:p w:rsidR="00AC7460" w:rsidRDefault="00AC7460" w:rsidP="00101803">
            <w:r>
              <w:t>Value at retirement</w:t>
            </w:r>
          </w:p>
        </w:tc>
      </w:tr>
      <w:tr w:rsidR="00AC7460" w:rsidTr="008731D4">
        <w:trPr>
          <w:jc w:val="center"/>
        </w:trPr>
        <w:tc>
          <w:tcPr>
            <w:tcW w:w="1668" w:type="dxa"/>
          </w:tcPr>
          <w:p w:rsidR="00AC7460" w:rsidRDefault="00AC7460" w:rsidP="00AC7460">
            <w:pPr>
              <w:jc w:val="right"/>
            </w:pPr>
            <w:r>
              <w:t>£100</w:t>
            </w:r>
          </w:p>
        </w:tc>
        <w:tc>
          <w:tcPr>
            <w:tcW w:w="1984" w:type="dxa"/>
          </w:tcPr>
          <w:p w:rsidR="00AC7460" w:rsidRDefault="00AC7460" w:rsidP="00AC7460">
            <w:pPr>
              <w:jc w:val="right"/>
            </w:pPr>
            <w:r>
              <w:t>£0</w:t>
            </w:r>
          </w:p>
        </w:tc>
      </w:tr>
      <w:tr w:rsidR="00AC7460" w:rsidTr="008731D4">
        <w:trPr>
          <w:jc w:val="center"/>
        </w:trPr>
        <w:tc>
          <w:tcPr>
            <w:tcW w:w="1668" w:type="dxa"/>
          </w:tcPr>
          <w:p w:rsidR="00AC7460" w:rsidRDefault="00AC7460" w:rsidP="00AC7460">
            <w:pPr>
              <w:jc w:val="right"/>
            </w:pPr>
            <w:r>
              <w:t>£500</w:t>
            </w:r>
          </w:p>
        </w:tc>
        <w:tc>
          <w:tcPr>
            <w:tcW w:w="1984" w:type="dxa"/>
          </w:tcPr>
          <w:p w:rsidR="00AC7460" w:rsidRDefault="00AC7460" w:rsidP="00AC7460">
            <w:pPr>
              <w:jc w:val="right"/>
            </w:pPr>
            <w:r>
              <w:t>£200</w:t>
            </w:r>
          </w:p>
        </w:tc>
      </w:tr>
      <w:tr w:rsidR="00AC7460" w:rsidTr="008731D4">
        <w:trPr>
          <w:jc w:val="center"/>
        </w:trPr>
        <w:tc>
          <w:tcPr>
            <w:tcW w:w="1668" w:type="dxa"/>
          </w:tcPr>
          <w:p w:rsidR="00AC7460" w:rsidRDefault="00AC7460" w:rsidP="00AC7460">
            <w:pPr>
              <w:jc w:val="right"/>
            </w:pPr>
            <w:r>
              <w:t>£1000</w:t>
            </w:r>
          </w:p>
        </w:tc>
        <w:tc>
          <w:tcPr>
            <w:tcW w:w="1984" w:type="dxa"/>
          </w:tcPr>
          <w:p w:rsidR="00AC7460" w:rsidRDefault="00AC7460" w:rsidP="00AC7460">
            <w:pPr>
              <w:jc w:val="right"/>
            </w:pPr>
            <w:r>
              <w:t>£1500</w:t>
            </w:r>
          </w:p>
        </w:tc>
      </w:tr>
    </w:tbl>
    <w:p w:rsidR="008731D4" w:rsidRDefault="008731D4" w:rsidP="00101803"/>
    <w:p w:rsidR="00AC7460" w:rsidRDefault="00AC7460" w:rsidP="00101803">
      <w:r>
        <w:t>This shows that for small pension pots</w:t>
      </w:r>
      <w:r w:rsidR="00470F8A">
        <w:t>,</w:t>
      </w:r>
      <w:r>
        <w:t xml:space="preserve"> the charges </w:t>
      </w:r>
      <w:r w:rsidR="00470F8A">
        <w:t xml:space="preserve">levied </w:t>
      </w:r>
      <w:r>
        <w:t>will outstrip any fund growth and result in a decreased fund value or even no value at retirement.</w:t>
      </w:r>
    </w:p>
    <w:p w:rsidR="00101803" w:rsidRDefault="008731D4" w:rsidP="00CF2582">
      <w:r>
        <w:t>The current char</w:t>
      </w:r>
      <w:r w:rsidR="000E65FE">
        <w:t xml:space="preserve">ging structure was chosen to ensure that </w:t>
      </w:r>
      <w:r w:rsidR="00470F8A">
        <w:t>the Trust’s expenses</w:t>
      </w:r>
      <w:r w:rsidR="000E65FE">
        <w:t xml:space="preserve"> are covered. The expenses for the Trust are </w:t>
      </w:r>
      <w:r w:rsidR="000D6403">
        <w:t>administrati</w:t>
      </w:r>
      <w:r w:rsidR="00B93D03">
        <w:t>ve</w:t>
      </w:r>
      <w:r w:rsidR="000D6403">
        <w:t xml:space="preserve"> </w:t>
      </w:r>
      <w:r w:rsidR="000E65FE">
        <w:t xml:space="preserve">costs which are a flat fee per member, and investment costs which vary by </w:t>
      </w:r>
      <w:r w:rsidR="00470F8A">
        <w:t>pot</w:t>
      </w:r>
      <w:r w:rsidR="000E65FE">
        <w:t xml:space="preserve"> size. Therefore, setting the charges to be a mix of a flat fee and a </w:t>
      </w:r>
      <w:r w:rsidR="00470F8A">
        <w:t>set percentage of the</w:t>
      </w:r>
      <w:r w:rsidR="000E65FE">
        <w:t xml:space="preserve"> pot size aims to reflect the actual expenses of the scheme. </w:t>
      </w:r>
    </w:p>
    <w:p w:rsidR="003051DA" w:rsidRDefault="003051DA" w:rsidP="00CF2582">
      <w:r>
        <w:t xml:space="preserve">The percentage charge means that larger pots will </w:t>
      </w:r>
      <w:r w:rsidR="00470F8A">
        <w:t xml:space="preserve">incur </w:t>
      </w:r>
      <w:r>
        <w:t>higher charges. This reflects the high investment costs associated with these pots.</w:t>
      </w:r>
    </w:p>
    <w:p w:rsidR="003051DA" w:rsidRDefault="003051DA" w:rsidP="00CF2582">
      <w:r>
        <w:t>The flat fee charge is the same for all members. It is this part of the charges that results in small pension pots being eroded in value</w:t>
      </w:r>
      <w:r w:rsidR="00470F8A">
        <w:t>, because it will be a relatively significant percentage of the small pots</w:t>
      </w:r>
      <w:r>
        <w:t xml:space="preserve">. </w:t>
      </w:r>
    </w:p>
    <w:p w:rsidR="003051DA" w:rsidRDefault="00914B74" w:rsidP="003051DA">
      <w:r>
        <w:t>We have considered a</w:t>
      </w:r>
      <w:r w:rsidR="003051DA">
        <w:t>lternative charging structures used by other Master Trusts</w:t>
      </w:r>
      <w:r>
        <w:t>. However, there are disadvantages associated with these structures are indicated below:</w:t>
      </w:r>
    </w:p>
    <w:p w:rsidR="003051DA" w:rsidRDefault="003051DA" w:rsidP="003051DA">
      <w:pPr>
        <w:pStyle w:val="ListParagraph"/>
        <w:numPr>
          <w:ilvl w:val="0"/>
          <w:numId w:val="4"/>
        </w:numPr>
      </w:pPr>
      <w:r>
        <w:t xml:space="preserve">Percentage charge only - this wouldn’t erode pots to </w:t>
      </w:r>
      <w:r w:rsidR="00B93D03">
        <w:t>zero</w:t>
      </w:r>
      <w:r>
        <w:t xml:space="preserve"> but the Trust wouldn’t cover its admin</w:t>
      </w:r>
      <w:r w:rsidR="00B93D03">
        <w:t>istrative</w:t>
      </w:r>
      <w:r>
        <w:t xml:space="preserve"> costs on small pots. </w:t>
      </w:r>
      <w:r w:rsidR="00914B74">
        <w:t>This would result in larger pots having to subsidise small pots.</w:t>
      </w:r>
    </w:p>
    <w:p w:rsidR="00D22E20" w:rsidRDefault="003051DA" w:rsidP="00D22E20">
      <w:pPr>
        <w:pStyle w:val="ListParagraph"/>
        <w:numPr>
          <w:ilvl w:val="0"/>
          <w:numId w:val="4"/>
        </w:numPr>
      </w:pPr>
      <w:r>
        <w:t xml:space="preserve">Flat fee only </w:t>
      </w:r>
      <w:r w:rsidR="00AD0E67">
        <w:t xml:space="preserve">– this </w:t>
      </w:r>
      <w:r>
        <w:t>would ensure admin</w:t>
      </w:r>
      <w:r w:rsidR="00B93D03">
        <w:t>istrative</w:t>
      </w:r>
      <w:r>
        <w:t xml:space="preserve"> costs were covered on pots of all sizes. It would have the problem of eroding the value of small pension pots, and the investment expenses on large pots might not be covered.</w:t>
      </w:r>
    </w:p>
    <w:p w:rsidR="00D22E20" w:rsidRDefault="00D22E20" w:rsidP="00D22E20">
      <w:r>
        <w:t>Given the challenges that small pension pots present, we recommend that the board considers performing a charging review. While the review in 2017 showed that</w:t>
      </w:r>
      <w:r w:rsidR="002610CD">
        <w:t xml:space="preserve"> the</w:t>
      </w:r>
      <w:r>
        <w:t xml:space="preserve"> charg</w:t>
      </w:r>
      <w:r w:rsidR="002610CD">
        <w:t>ing structure</w:t>
      </w:r>
      <w:r>
        <w:t xml:space="preserve"> would be sufficient until 2027 this was based on the assumption that deferred pots would account for 40% of all pots in the scheme. Given that currently almost 50% of pots are deferred and we expect to see that proportion increasing, the assumption used in the review does now hold. </w:t>
      </w:r>
    </w:p>
    <w:p w:rsidR="00AE26BC" w:rsidRDefault="00CF2582" w:rsidP="00CF2582">
      <w:pPr>
        <w:rPr>
          <w:u w:val="single"/>
        </w:rPr>
      </w:pPr>
      <w:r>
        <w:rPr>
          <w:u w:val="single"/>
        </w:rPr>
        <w:t>Summary</w:t>
      </w:r>
    </w:p>
    <w:p w:rsidR="00AE26BC" w:rsidRDefault="00AE26BC" w:rsidP="00CF2582">
      <w:r>
        <w:t xml:space="preserve">A small pension pot is a pot belonging to deferred member where the value is less than £1000. </w:t>
      </w:r>
      <w:r w:rsidRPr="00AE26BC">
        <w:t xml:space="preserve">The </w:t>
      </w:r>
      <w:r>
        <w:t xml:space="preserve">number of small pension pots is expected to increase. </w:t>
      </w:r>
    </w:p>
    <w:p w:rsidR="00AE26BC" w:rsidRDefault="00AE26BC" w:rsidP="00CF2582">
      <w:r>
        <w:t>Small pension pots can pose a problem for both the member and the Trust. The trustees may want to review the current charging structure given the increasing number of small pension pots to ensure that costs are covered and the charging is fair to members.</w:t>
      </w:r>
    </w:p>
    <w:p w:rsidR="00AE26BC" w:rsidRDefault="00AE26BC" w:rsidP="00CF2582"/>
    <w:p w:rsidR="00AE26BC" w:rsidRDefault="00AE26BC" w:rsidP="00CF2582">
      <w:r>
        <w:t xml:space="preserve">If you would like any more information on the subject please do contact me on </w:t>
      </w:r>
      <w:r w:rsidR="00966924">
        <w:t>XXX-XXXXXX</w:t>
      </w:r>
      <w:r>
        <w:t>.</w:t>
      </w:r>
    </w:p>
    <w:p w:rsidR="00AE26BC" w:rsidRDefault="00AE26BC" w:rsidP="00CF2582">
      <w:r>
        <w:lastRenderedPageBreak/>
        <w:t>Kit Taylor</w:t>
      </w:r>
    </w:p>
    <w:p w:rsidR="000679F3" w:rsidRDefault="000679F3" w:rsidP="00CF2582"/>
    <w:p w:rsidR="000679F3" w:rsidRDefault="000679F3" w:rsidP="00CF2582"/>
    <w:p w:rsidR="000679F3" w:rsidRDefault="000679F3" w:rsidP="000679F3">
      <w:pPr>
        <w:rPr>
          <w:b/>
          <w:u w:val="single"/>
        </w:rPr>
      </w:pPr>
      <w:r w:rsidRPr="000679F3">
        <w:rPr>
          <w:b/>
          <w:u w:val="single"/>
        </w:rPr>
        <w:t>Q</w:t>
      </w:r>
      <w:r>
        <w:rPr>
          <w:b/>
          <w:u w:val="single"/>
        </w:rPr>
        <w:t>2</w:t>
      </w:r>
      <w:r w:rsidRPr="000679F3">
        <w:rPr>
          <w:b/>
          <w:u w:val="single"/>
        </w:rPr>
        <w:t>.</w:t>
      </w:r>
    </w:p>
    <w:p w:rsidR="000679F3" w:rsidRDefault="000679F3" w:rsidP="000679F3">
      <w:pPr>
        <w:rPr>
          <w:b/>
        </w:rPr>
      </w:pPr>
      <w:r w:rsidRPr="000679F3">
        <w:rPr>
          <w:b/>
        </w:rPr>
        <w:t>i)</w:t>
      </w:r>
    </w:p>
    <w:p w:rsidR="000679F3" w:rsidRDefault="003C4FC9" w:rsidP="000679F3">
      <w:r w:rsidRPr="003C4FC9">
        <w:t xml:space="preserve">The </w:t>
      </w:r>
      <w:r>
        <w:t>trustees have varying backgrounds but should all have some knowledge of pension schemes.</w:t>
      </w:r>
      <w:r w:rsidR="00FD639D">
        <w:t xml:space="preserve"> For that reason I used words such as member, deferred and active.</w:t>
      </w:r>
    </w:p>
    <w:p w:rsidR="00FD639D" w:rsidRDefault="00FD639D" w:rsidP="000679F3">
      <w:r>
        <w:t>I kept the language simple and clear, for example giving the definition of a small pension pot.</w:t>
      </w:r>
    </w:p>
    <w:p w:rsidR="00FD639D" w:rsidRDefault="00FD639D" w:rsidP="000679F3">
      <w:r>
        <w:t>I avoided including too many figures due to the varying backgrounds of the trustees. Instead I used graphs and tables to present the figures that I believed helped with the explanations.</w:t>
      </w:r>
    </w:p>
    <w:p w:rsidR="00FD639D" w:rsidRPr="003C4FC9" w:rsidRDefault="00FD639D" w:rsidP="000679F3">
      <w:r>
        <w:t>Similarly, I avoided providing too much detail that might not be easily understood, for example the details of the pension charges review.</w:t>
      </w:r>
    </w:p>
    <w:p w:rsidR="000679F3" w:rsidRDefault="000679F3" w:rsidP="000679F3"/>
    <w:p w:rsidR="000679F3" w:rsidRDefault="000679F3" w:rsidP="000679F3">
      <w:pPr>
        <w:rPr>
          <w:b/>
        </w:rPr>
      </w:pPr>
      <w:r>
        <w:rPr>
          <w:b/>
        </w:rPr>
        <w:t>ii)</w:t>
      </w:r>
    </w:p>
    <w:p w:rsidR="001C528A" w:rsidRPr="001C528A" w:rsidRDefault="000679F3" w:rsidP="000679F3">
      <w:r>
        <w:t xml:space="preserve">I excluded details from pension charges review. In particular I did </w:t>
      </w:r>
      <w:r w:rsidR="00746628">
        <w:t xml:space="preserve">not </w:t>
      </w:r>
      <w:r>
        <w:t xml:space="preserve">list </w:t>
      </w:r>
      <w:r w:rsidR="002610CD">
        <w:t xml:space="preserve">all </w:t>
      </w:r>
      <w:r>
        <w:t>the assumptions used in the modelling. This level of detail was not appropriate for the paper which only provided a high level discussion on the current charging structure.</w:t>
      </w:r>
      <w:r w:rsidR="001C528A">
        <w:t xml:space="preserve"> </w:t>
      </w:r>
      <w:r>
        <w:t>I also excluded the details on the administrative cost and levy as these figures may be out of date as the review was conducted in 2017.</w:t>
      </w:r>
    </w:p>
    <w:p w:rsidR="000679F3" w:rsidRDefault="001C528A" w:rsidP="000679F3">
      <w:pPr>
        <w:rPr>
          <w:b/>
        </w:rPr>
      </w:pPr>
      <w:r w:rsidRPr="001C528A">
        <w:t>I de</w:t>
      </w:r>
      <w:r>
        <w:t xml:space="preserve">cided to exclude the modelling data for policies deferred at age 40. I felt that it was unnecessary to include that in addition to the data for deferred at age 22. </w:t>
      </w:r>
    </w:p>
    <w:p w:rsidR="000679F3" w:rsidRDefault="000679F3" w:rsidP="000679F3">
      <w:pPr>
        <w:rPr>
          <w:b/>
        </w:rPr>
      </w:pPr>
      <w:r>
        <w:rPr>
          <w:b/>
        </w:rPr>
        <w:t>iii)</w:t>
      </w:r>
    </w:p>
    <w:p w:rsidR="000679F3" w:rsidRDefault="000679F3" w:rsidP="000679F3">
      <w:r>
        <w:t xml:space="preserve">I chose to use a bar chart to display the </w:t>
      </w:r>
      <w:r w:rsidR="001C528A">
        <w:t xml:space="preserve">number of </w:t>
      </w:r>
      <w:r>
        <w:t xml:space="preserve">active and deferred pots. </w:t>
      </w:r>
      <w:r w:rsidR="001C528A">
        <w:t>I wanted to show the trend of increasing deferred pots over time and the bar chart shows this clearly.</w:t>
      </w:r>
    </w:p>
    <w:p w:rsidR="001C528A" w:rsidRPr="000679F3" w:rsidRDefault="001C528A" w:rsidP="000679F3">
      <w:r>
        <w:t xml:space="preserve">I used a table to display the effect of charges on the policy deferred at age 22. </w:t>
      </w:r>
      <w:r w:rsidR="003C4FC9">
        <w:t>The table allows the trustees to easily and clearly see the impact on the pension pot for different starting pot values. While I could have used a chart to display this data I felt that the table was more appropriate for the size of the data set, and made it easier to compare.</w:t>
      </w:r>
    </w:p>
    <w:p w:rsidR="000679F3" w:rsidRDefault="000679F3" w:rsidP="00CF2582"/>
    <w:sectPr w:rsidR="000679F3" w:rsidSect="006A1C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B4253"/>
    <w:multiLevelType w:val="hybridMultilevel"/>
    <w:tmpl w:val="5790C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81F13"/>
    <w:multiLevelType w:val="hybridMultilevel"/>
    <w:tmpl w:val="81FABCDA"/>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 w15:restartNumberingAfterBreak="0">
    <w:nsid w:val="682528FA"/>
    <w:multiLevelType w:val="hybridMultilevel"/>
    <w:tmpl w:val="98E89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E226917"/>
    <w:multiLevelType w:val="hybridMultilevel"/>
    <w:tmpl w:val="CDC2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4E9"/>
    <w:rsid w:val="000679F3"/>
    <w:rsid w:val="000D6403"/>
    <w:rsid w:val="000E65FE"/>
    <w:rsid w:val="00101803"/>
    <w:rsid w:val="001401B2"/>
    <w:rsid w:val="001C528A"/>
    <w:rsid w:val="002610CD"/>
    <w:rsid w:val="002B0F06"/>
    <w:rsid w:val="002F5219"/>
    <w:rsid w:val="003051DA"/>
    <w:rsid w:val="00396082"/>
    <w:rsid w:val="003C4FC9"/>
    <w:rsid w:val="00455342"/>
    <w:rsid w:val="00470F8A"/>
    <w:rsid w:val="004B4BA1"/>
    <w:rsid w:val="004C1615"/>
    <w:rsid w:val="005C4560"/>
    <w:rsid w:val="0060106A"/>
    <w:rsid w:val="0061291E"/>
    <w:rsid w:val="006903EB"/>
    <w:rsid w:val="006A1C9D"/>
    <w:rsid w:val="006D590D"/>
    <w:rsid w:val="00746628"/>
    <w:rsid w:val="00806107"/>
    <w:rsid w:val="008731D4"/>
    <w:rsid w:val="00890303"/>
    <w:rsid w:val="00914B74"/>
    <w:rsid w:val="00952EE3"/>
    <w:rsid w:val="00966924"/>
    <w:rsid w:val="009E5A19"/>
    <w:rsid w:val="00AC7460"/>
    <w:rsid w:val="00AD0E67"/>
    <w:rsid w:val="00AE26BC"/>
    <w:rsid w:val="00B12F32"/>
    <w:rsid w:val="00B93D03"/>
    <w:rsid w:val="00BB7DB4"/>
    <w:rsid w:val="00CF2582"/>
    <w:rsid w:val="00D22E20"/>
    <w:rsid w:val="00DB2D0D"/>
    <w:rsid w:val="00DC37F6"/>
    <w:rsid w:val="00E50262"/>
    <w:rsid w:val="00E565D5"/>
    <w:rsid w:val="00E80272"/>
    <w:rsid w:val="00F234E9"/>
    <w:rsid w:val="00F4110A"/>
    <w:rsid w:val="00F72671"/>
    <w:rsid w:val="00FA288A"/>
    <w:rsid w:val="00FD038E"/>
    <w:rsid w:val="00FD1ABE"/>
    <w:rsid w:val="00FD63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97416-4107-4831-8ACA-397295DB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C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4E9"/>
    <w:pPr>
      <w:ind w:left="720"/>
      <w:contextualSpacing/>
    </w:pPr>
  </w:style>
  <w:style w:type="paragraph" w:styleId="BalloonText">
    <w:name w:val="Balloon Text"/>
    <w:basedOn w:val="Normal"/>
    <w:link w:val="BalloonTextChar"/>
    <w:uiPriority w:val="99"/>
    <w:semiHidden/>
    <w:unhideWhenUsed/>
    <w:rsid w:val="006129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91E"/>
    <w:rPr>
      <w:rFonts w:ascii="Tahoma" w:hAnsi="Tahoma" w:cs="Tahoma"/>
      <w:sz w:val="16"/>
      <w:szCs w:val="16"/>
    </w:rPr>
  </w:style>
  <w:style w:type="table" w:styleId="TableGrid">
    <w:name w:val="Table Grid"/>
    <w:basedOn w:val="TableNormal"/>
    <w:uiPriority w:val="59"/>
    <w:rsid w:val="00AC7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5219"/>
    <w:rPr>
      <w:sz w:val="16"/>
      <w:szCs w:val="16"/>
    </w:rPr>
  </w:style>
  <w:style w:type="paragraph" w:styleId="CommentText">
    <w:name w:val="annotation text"/>
    <w:basedOn w:val="Normal"/>
    <w:link w:val="CommentTextChar"/>
    <w:uiPriority w:val="99"/>
    <w:semiHidden/>
    <w:unhideWhenUsed/>
    <w:rsid w:val="002F5219"/>
    <w:pPr>
      <w:spacing w:line="240" w:lineRule="auto"/>
    </w:pPr>
    <w:rPr>
      <w:sz w:val="20"/>
      <w:szCs w:val="20"/>
    </w:rPr>
  </w:style>
  <w:style w:type="character" w:customStyle="1" w:styleId="CommentTextChar">
    <w:name w:val="Comment Text Char"/>
    <w:basedOn w:val="DefaultParagraphFont"/>
    <w:link w:val="CommentText"/>
    <w:uiPriority w:val="99"/>
    <w:semiHidden/>
    <w:rsid w:val="002F5219"/>
    <w:rPr>
      <w:sz w:val="20"/>
      <w:szCs w:val="20"/>
    </w:rPr>
  </w:style>
  <w:style w:type="paragraph" w:styleId="CommentSubject">
    <w:name w:val="annotation subject"/>
    <w:basedOn w:val="CommentText"/>
    <w:next w:val="CommentText"/>
    <w:link w:val="CommentSubjectChar"/>
    <w:uiPriority w:val="99"/>
    <w:semiHidden/>
    <w:unhideWhenUsed/>
    <w:rsid w:val="002F5219"/>
    <w:rPr>
      <w:b/>
      <w:bCs/>
    </w:rPr>
  </w:style>
  <w:style w:type="character" w:customStyle="1" w:styleId="CommentSubjectChar">
    <w:name w:val="Comment Subject Char"/>
    <w:basedOn w:val="CommentTextChar"/>
    <w:link w:val="CommentSubject"/>
    <w:uiPriority w:val="99"/>
    <w:semiHidden/>
    <w:rsid w:val="002F5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Pension </a:t>
            </a:r>
            <a:r>
              <a:rPr lang="en-GB" baseline="0"/>
              <a:t>savings accounts</a:t>
            </a:r>
            <a:endParaRPr lang="en-GB"/>
          </a:p>
        </c:rich>
      </c:tx>
      <c:layout/>
      <c:overlay val="0"/>
    </c:title>
    <c:autoTitleDeleted val="0"/>
    <c:plotArea>
      <c:layout/>
      <c:barChart>
        <c:barDir val="col"/>
        <c:grouping val="clustered"/>
        <c:varyColors val="0"/>
        <c:ser>
          <c:idx val="1"/>
          <c:order val="0"/>
          <c:tx>
            <c:v>Active pots</c:v>
          </c:tx>
          <c:invertIfNegative val="0"/>
          <c:cat>
            <c:numRef>
              <c:f>Sheet1!$E$2:$E$6</c:f>
              <c:numCache>
                <c:formatCode>General</c:formatCode>
                <c:ptCount val="5"/>
                <c:pt idx="0">
                  <c:v>2016</c:v>
                </c:pt>
                <c:pt idx="1">
                  <c:v>2017</c:v>
                </c:pt>
                <c:pt idx="2">
                  <c:v>2018</c:v>
                </c:pt>
                <c:pt idx="3">
                  <c:v>2019</c:v>
                </c:pt>
                <c:pt idx="4">
                  <c:v>2020</c:v>
                </c:pt>
              </c:numCache>
            </c:numRef>
          </c:cat>
          <c:val>
            <c:numRef>
              <c:f>Sheet1!$F$2:$F$6</c:f>
              <c:numCache>
                <c:formatCode>General</c:formatCode>
                <c:ptCount val="5"/>
                <c:pt idx="0">
                  <c:v>28104</c:v>
                </c:pt>
                <c:pt idx="1">
                  <c:v>28861</c:v>
                </c:pt>
                <c:pt idx="2">
                  <c:v>29752</c:v>
                </c:pt>
                <c:pt idx="3">
                  <c:v>30628</c:v>
                </c:pt>
                <c:pt idx="4">
                  <c:v>30714</c:v>
                </c:pt>
              </c:numCache>
            </c:numRef>
          </c:val>
          <c:extLst xmlns:c16r2="http://schemas.microsoft.com/office/drawing/2015/06/chart">
            <c:ext xmlns:c16="http://schemas.microsoft.com/office/drawing/2014/chart" uri="{C3380CC4-5D6E-409C-BE32-E72D297353CC}">
              <c16:uniqueId val="{00000000-EE81-45D2-ABC7-0A9E208CB94D}"/>
            </c:ext>
          </c:extLst>
        </c:ser>
        <c:ser>
          <c:idx val="2"/>
          <c:order val="1"/>
          <c:tx>
            <c:v>Deferred pots</c:v>
          </c:tx>
          <c:invertIfNegative val="0"/>
          <c:cat>
            <c:numRef>
              <c:f>Sheet1!$E$2:$E$6</c:f>
              <c:numCache>
                <c:formatCode>General</c:formatCode>
                <c:ptCount val="5"/>
                <c:pt idx="0">
                  <c:v>2016</c:v>
                </c:pt>
                <c:pt idx="1">
                  <c:v>2017</c:v>
                </c:pt>
                <c:pt idx="2">
                  <c:v>2018</c:v>
                </c:pt>
                <c:pt idx="3">
                  <c:v>2019</c:v>
                </c:pt>
                <c:pt idx="4">
                  <c:v>2020</c:v>
                </c:pt>
              </c:numCache>
            </c:numRef>
          </c:cat>
          <c:val>
            <c:numRef>
              <c:f>Sheet1!$G$2:$G$6</c:f>
              <c:numCache>
                <c:formatCode>General</c:formatCode>
                <c:ptCount val="5"/>
                <c:pt idx="0">
                  <c:v>10396</c:v>
                </c:pt>
                <c:pt idx="1">
                  <c:v>14014</c:v>
                </c:pt>
                <c:pt idx="2">
                  <c:v>21998</c:v>
                </c:pt>
                <c:pt idx="3">
                  <c:v>24497</c:v>
                </c:pt>
                <c:pt idx="4">
                  <c:v>30536</c:v>
                </c:pt>
              </c:numCache>
            </c:numRef>
          </c:val>
          <c:extLst xmlns:c16r2="http://schemas.microsoft.com/office/drawing/2015/06/chart">
            <c:ext xmlns:c16="http://schemas.microsoft.com/office/drawing/2014/chart" uri="{C3380CC4-5D6E-409C-BE32-E72D297353CC}">
              <c16:uniqueId val="{00000001-EE81-45D2-ABC7-0A9E208CB94D}"/>
            </c:ext>
          </c:extLst>
        </c:ser>
        <c:dLbls>
          <c:showLegendKey val="0"/>
          <c:showVal val="0"/>
          <c:showCatName val="0"/>
          <c:showSerName val="0"/>
          <c:showPercent val="0"/>
          <c:showBubbleSize val="0"/>
        </c:dLbls>
        <c:gapWidth val="150"/>
        <c:axId val="489299400"/>
        <c:axId val="489300184"/>
      </c:barChart>
      <c:catAx>
        <c:axId val="489299400"/>
        <c:scaling>
          <c:orientation val="minMax"/>
        </c:scaling>
        <c:delete val="0"/>
        <c:axPos val="b"/>
        <c:title>
          <c:tx>
            <c:rich>
              <a:bodyPr/>
              <a:lstStyle/>
              <a:p>
                <a:pPr>
                  <a:defRPr/>
                </a:pPr>
                <a:r>
                  <a:rPr lang="en-GB"/>
                  <a:t>Year</a:t>
                </a:r>
              </a:p>
            </c:rich>
          </c:tx>
          <c:layout/>
          <c:overlay val="0"/>
        </c:title>
        <c:numFmt formatCode="General" sourceLinked="1"/>
        <c:majorTickMark val="out"/>
        <c:minorTickMark val="none"/>
        <c:tickLblPos val="nextTo"/>
        <c:crossAx val="489300184"/>
        <c:crosses val="autoZero"/>
        <c:auto val="1"/>
        <c:lblAlgn val="ctr"/>
        <c:lblOffset val="100"/>
        <c:noMultiLvlLbl val="0"/>
      </c:catAx>
      <c:valAx>
        <c:axId val="489300184"/>
        <c:scaling>
          <c:orientation val="minMax"/>
        </c:scaling>
        <c:delete val="0"/>
        <c:axPos val="l"/>
        <c:majorGridlines/>
        <c:title>
          <c:tx>
            <c:rich>
              <a:bodyPr rot="-5400000" vert="horz"/>
              <a:lstStyle/>
              <a:p>
                <a:pPr>
                  <a:defRPr/>
                </a:pPr>
                <a:r>
                  <a:rPr lang="en-GB"/>
                  <a:t>Number of accounts</a:t>
                </a:r>
              </a:p>
            </c:rich>
          </c:tx>
          <c:layout/>
          <c:overlay val="0"/>
        </c:title>
        <c:numFmt formatCode="General" sourceLinked="1"/>
        <c:majorTickMark val="out"/>
        <c:minorTickMark val="none"/>
        <c:tickLblPos val="nextTo"/>
        <c:crossAx val="48929940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8FAD3-9DF3-46DD-AF0A-B82901C9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Ciara Trainor</cp:lastModifiedBy>
  <cp:revision>2</cp:revision>
  <dcterms:created xsi:type="dcterms:W3CDTF">2021-06-29T09:34:00Z</dcterms:created>
  <dcterms:modified xsi:type="dcterms:W3CDTF">2021-06-29T09:34:00Z</dcterms:modified>
</cp:coreProperties>
</file>